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0E6A" w:rsidRPr="00DF0E6A" w:rsidRDefault="00DF0E6A" w:rsidP="00DF0E6A">
      <w:pPr>
        <w:shd w:val="clear" w:color="auto" w:fill="FFFFFF"/>
        <w:spacing w:after="0" w:line="390" w:lineRule="atLeast"/>
        <w:outlineLvl w:val="1"/>
        <w:rPr>
          <w:rFonts w:ascii="sans serif" w:eastAsia="Times New Roman" w:hAnsi="sans serif" w:cs="Arial"/>
          <w:color w:val="CB2C26"/>
          <w:kern w:val="0"/>
          <w:sz w:val="36"/>
          <w:szCs w:val="36"/>
          <w14:ligatures w14:val="none"/>
        </w:rPr>
      </w:pPr>
      <w:r w:rsidRPr="00DF0E6A">
        <w:rPr>
          <w:rFonts w:ascii="sans serif" w:eastAsia="Times New Roman" w:hAnsi="sans serif" w:cs="Arial"/>
          <w:color w:val="CB2C26"/>
          <w:kern w:val="0"/>
          <w:sz w:val="36"/>
          <w:szCs w:val="36"/>
          <w14:ligatures w14:val="none"/>
        </w:rPr>
        <w:t>Soccer Rules Changes - 2024-25</w:t>
      </w:r>
    </w:p>
    <w:p w:rsidR="00DF0E6A" w:rsidRPr="00DF0E6A" w:rsidRDefault="00DF0E6A" w:rsidP="00DF0E6A">
      <w:pPr>
        <w:shd w:val="clear" w:color="auto" w:fill="FFFFFF"/>
        <w:spacing w:after="0" w:line="240" w:lineRule="auto"/>
        <w:rPr>
          <w:rFonts w:ascii="Arial" w:eastAsia="Times New Roman" w:hAnsi="Arial" w:cs="Arial"/>
          <w:color w:val="5F5B61"/>
          <w:kern w:val="0"/>
          <w:sz w:val="21"/>
          <w:szCs w:val="21"/>
          <w14:ligatures w14:val="none"/>
        </w:rPr>
      </w:pPr>
      <w:r w:rsidRPr="00DF0E6A">
        <w:rPr>
          <w:rFonts w:ascii="sans serif" w:eastAsia="Times New Roman" w:hAnsi="sans serif" w:cs="Arial"/>
          <w:color w:val="5F5B61"/>
          <w:kern w:val="0"/>
          <w:sz w:val="18"/>
          <w:szCs w:val="18"/>
          <w14:ligatures w14:val="none"/>
        </w:rPr>
        <w:t>By NFHS on June 26, 2024</w:t>
      </w:r>
      <w:hyperlink r:id="rId5" w:history="1">
        <w:r w:rsidRPr="00DF0E6A">
          <w:rPr>
            <w:rFonts w:ascii="open_sansbold_italic" w:eastAsia="Times New Roman" w:hAnsi="open_sansbold_italic" w:cs="Arial"/>
            <w:color w:val="244674"/>
            <w:kern w:val="0"/>
            <w:sz w:val="21"/>
            <w:szCs w:val="21"/>
            <w:u w:val="single"/>
            <w14:ligatures w14:val="none"/>
          </w:rPr>
          <w:t>soccer</w:t>
        </w:r>
      </w:hyperlink>
    </w:p>
    <w:p w:rsidR="00DF0E6A" w:rsidRPr="00DF0E6A" w:rsidRDefault="00DF0E6A" w:rsidP="00DF0E6A">
      <w:pPr>
        <w:shd w:val="clear" w:color="auto" w:fill="FFFFFF"/>
        <w:spacing w:after="0" w:line="240" w:lineRule="auto"/>
        <w:rPr>
          <w:rFonts w:ascii="Arial" w:eastAsia="Times New Roman" w:hAnsi="Arial" w:cs="Arial"/>
          <w:color w:val="5F5B61"/>
          <w:kern w:val="0"/>
          <w:sz w:val="21"/>
          <w:szCs w:val="21"/>
          <w14:ligatures w14:val="none"/>
        </w:rPr>
      </w:pPr>
      <w:hyperlink r:id="rId6" w:history="1">
        <w:r w:rsidRPr="00DF0E6A">
          <w:rPr>
            <w:rFonts w:ascii="open_sansbold_italic" w:eastAsia="Times New Roman" w:hAnsi="open_sansbold_italic" w:cs="Arial"/>
            <w:color w:val="244674"/>
            <w:kern w:val="0"/>
            <w:sz w:val="21"/>
            <w:szCs w:val="21"/>
            <w:u w:val="single"/>
            <w14:ligatures w14:val="none"/>
          </w:rPr>
          <w:t>Share</w:t>
        </w:r>
      </w:hyperlink>
    </w:p>
    <w:p w:rsidR="00DF0E6A" w:rsidRPr="00DF0E6A" w:rsidRDefault="00DF0E6A" w:rsidP="00DF0E6A">
      <w:pPr>
        <w:shd w:val="clear" w:color="auto" w:fill="FFFFFF"/>
        <w:spacing w:line="240" w:lineRule="auto"/>
        <w:rPr>
          <w:rFonts w:ascii="Arial" w:eastAsia="Times New Roman" w:hAnsi="Arial" w:cs="Arial"/>
          <w:color w:val="5F5B61"/>
          <w:kern w:val="0"/>
          <w:sz w:val="21"/>
          <w:szCs w:val="21"/>
          <w14:ligatures w14:val="none"/>
        </w:rPr>
      </w:pPr>
      <w:hyperlink r:id="rId7" w:history="1">
        <w:r w:rsidRPr="00DF0E6A">
          <w:rPr>
            <w:rFonts w:ascii="open_sansbold_italic" w:eastAsia="Times New Roman" w:hAnsi="open_sansbold_italic" w:cs="Arial"/>
            <w:color w:val="244674"/>
            <w:kern w:val="0"/>
            <w:sz w:val="21"/>
            <w:szCs w:val="21"/>
            <w:u w:val="single"/>
            <w14:ligatures w14:val="none"/>
          </w:rPr>
          <w:t>Print</w:t>
        </w:r>
      </w:hyperlink>
    </w:p>
    <w:p w:rsidR="00DF0E6A" w:rsidRPr="00DF0E6A" w:rsidRDefault="00DF0E6A" w:rsidP="00DF0E6A">
      <w:pPr>
        <w:shd w:val="clear" w:color="auto" w:fill="FFFFFF"/>
        <w:spacing w:after="300" w:line="375" w:lineRule="atLeast"/>
        <w:rPr>
          <w:rFonts w:ascii="Arial" w:eastAsia="Times New Roman" w:hAnsi="Arial" w:cs="Arial"/>
          <w:color w:val="5F5B61"/>
          <w:kern w:val="0"/>
          <w:sz w:val="21"/>
          <w:szCs w:val="21"/>
          <w14:ligatures w14:val="none"/>
        </w:rPr>
      </w:pPr>
      <w:r w:rsidRPr="00DF0E6A">
        <w:rPr>
          <w:rFonts w:ascii="Arial" w:eastAsia="Times New Roman" w:hAnsi="Arial" w:cs="Arial"/>
          <w:color w:val="5F5B61"/>
          <w:kern w:val="0"/>
          <w:sz w:val="21"/>
          <w:szCs w:val="21"/>
          <w14:ligatures w14:val="none"/>
        </w:rPr>
        <w:t> </w:t>
      </w:r>
      <w:hyperlink r:id="rId8" w:tooltip="2024 Major Soccer Rules Changes With Rationales.pdf" w:history="1">
        <w:r w:rsidRPr="00DF0E6A">
          <w:rPr>
            <w:rFonts w:ascii="Arial" w:eastAsia="Times New Roman" w:hAnsi="Arial" w:cs="Arial"/>
            <w:b/>
            <w:bCs/>
            <w:color w:val="244674"/>
            <w:kern w:val="0"/>
            <w:sz w:val="21"/>
            <w:szCs w:val="21"/>
            <w14:ligatures w14:val="none"/>
          </w:rPr>
          <w:t>Download a PDF version</w:t>
        </w:r>
      </w:hyperlink>
    </w:p>
    <w:p w:rsidR="00DF0E6A" w:rsidRPr="00DF0E6A" w:rsidRDefault="00DF0E6A" w:rsidP="00DF0E6A">
      <w:pPr>
        <w:shd w:val="clear" w:color="auto" w:fill="FFFFFF"/>
        <w:spacing w:after="300" w:line="375" w:lineRule="atLeast"/>
        <w:rPr>
          <w:rFonts w:ascii="Arial" w:eastAsia="Times New Roman" w:hAnsi="Arial" w:cs="Arial"/>
          <w:color w:val="5F5B61"/>
          <w:kern w:val="0"/>
          <w:sz w:val="21"/>
          <w:szCs w:val="21"/>
          <w14:ligatures w14:val="none"/>
        </w:rPr>
      </w:pPr>
      <w:r w:rsidRPr="00DF0E6A">
        <w:rPr>
          <w:rFonts w:ascii="Arial" w:eastAsia="Times New Roman" w:hAnsi="Arial" w:cs="Arial"/>
          <w:b/>
          <w:bCs/>
          <w:color w:val="5F5B61"/>
          <w:kern w:val="0"/>
          <w:sz w:val="21"/>
          <w:szCs w:val="21"/>
          <w14:ligatures w14:val="none"/>
        </w:rPr>
        <w:t>4-1-4d:</w:t>
      </w:r>
      <w:r w:rsidRPr="00DF0E6A">
        <w:rPr>
          <w:rFonts w:ascii="Arial" w:eastAsia="Times New Roman" w:hAnsi="Arial" w:cs="Arial"/>
          <w:color w:val="5F5B61"/>
          <w:kern w:val="0"/>
          <w:sz w:val="21"/>
          <w:szCs w:val="21"/>
          <w14:ligatures w14:val="none"/>
        </w:rPr>
        <w:t> Clarifies there is not a limitation on the color of tape or sock worn at or below the ankle.</w:t>
      </w:r>
      <w:r w:rsidRPr="00DF0E6A">
        <w:rPr>
          <w:rFonts w:ascii="Arial" w:eastAsia="Times New Roman" w:hAnsi="Arial" w:cs="Arial"/>
          <w:color w:val="5F5B61"/>
          <w:kern w:val="0"/>
          <w:sz w:val="21"/>
          <w:szCs w:val="21"/>
          <w14:ligatures w14:val="none"/>
        </w:rPr>
        <w:br/>
      </w:r>
      <w:r w:rsidRPr="00DF0E6A">
        <w:rPr>
          <w:rFonts w:ascii="Arial" w:eastAsia="Times New Roman" w:hAnsi="Arial" w:cs="Arial"/>
          <w:b/>
          <w:bCs/>
          <w:color w:val="5F5B61"/>
          <w:kern w:val="0"/>
          <w:sz w:val="21"/>
          <w:szCs w:val="21"/>
          <w14:ligatures w14:val="none"/>
        </w:rPr>
        <w:t>Rationale:</w:t>
      </w:r>
      <w:r w:rsidRPr="00DF0E6A">
        <w:rPr>
          <w:rFonts w:ascii="Arial" w:eastAsia="Times New Roman" w:hAnsi="Arial" w:cs="Arial"/>
          <w:color w:val="5F5B61"/>
          <w:kern w:val="0"/>
          <w:sz w:val="21"/>
          <w:szCs w:val="21"/>
          <w14:ligatures w14:val="none"/>
        </w:rPr>
        <w:t> Athletes have the flexibility to modify socks within the existing regulations. Frequently, they remove the foot of one sock to layer another underneath, enhancing comfort or grip inside their shoes and fastening the top sock around the ankle. Any tape or similar material used above the ankle must match the sock's color, while at or below the ankle, any color is allowed. Referees are no longer required to oversee socks below the ankle.</w:t>
      </w:r>
    </w:p>
    <w:p w:rsidR="00DF0E6A" w:rsidRPr="00DF0E6A" w:rsidRDefault="00DF0E6A" w:rsidP="00DF0E6A">
      <w:pPr>
        <w:shd w:val="clear" w:color="auto" w:fill="FFFFFF"/>
        <w:spacing w:after="300" w:line="375" w:lineRule="atLeast"/>
        <w:rPr>
          <w:rFonts w:ascii="Arial" w:eastAsia="Times New Roman" w:hAnsi="Arial" w:cs="Arial"/>
          <w:color w:val="5F5B61"/>
          <w:kern w:val="0"/>
          <w:sz w:val="21"/>
          <w:szCs w:val="21"/>
          <w14:ligatures w14:val="none"/>
        </w:rPr>
      </w:pPr>
      <w:r w:rsidRPr="00DF0E6A">
        <w:rPr>
          <w:rFonts w:ascii="Arial" w:eastAsia="Times New Roman" w:hAnsi="Arial" w:cs="Arial"/>
          <w:b/>
          <w:bCs/>
          <w:color w:val="5F5B61"/>
          <w:kern w:val="0"/>
          <w:sz w:val="21"/>
          <w:szCs w:val="21"/>
          <w14:ligatures w14:val="none"/>
        </w:rPr>
        <w:t>Rule 12:</w:t>
      </w:r>
      <w:r w:rsidRPr="00DF0E6A">
        <w:rPr>
          <w:rFonts w:ascii="Arial" w:eastAsia="Times New Roman" w:hAnsi="Arial" w:cs="Arial"/>
          <w:color w:val="5F5B61"/>
          <w:kern w:val="0"/>
          <w:sz w:val="21"/>
          <w:szCs w:val="21"/>
          <w14:ligatures w14:val="none"/>
        </w:rPr>
        <w:t> Reorganized the rule for clarity and consistency.</w:t>
      </w:r>
      <w:r w:rsidRPr="00DF0E6A">
        <w:rPr>
          <w:rFonts w:ascii="Arial" w:eastAsia="Times New Roman" w:hAnsi="Arial" w:cs="Arial"/>
          <w:color w:val="5F5B61"/>
          <w:kern w:val="0"/>
          <w:sz w:val="21"/>
          <w:szCs w:val="21"/>
          <w14:ligatures w14:val="none"/>
        </w:rPr>
        <w:br/>
      </w:r>
      <w:r w:rsidRPr="00DF0E6A">
        <w:rPr>
          <w:rFonts w:ascii="Arial" w:eastAsia="Times New Roman" w:hAnsi="Arial" w:cs="Arial"/>
          <w:b/>
          <w:bCs/>
          <w:color w:val="5F5B61"/>
          <w:kern w:val="0"/>
          <w:sz w:val="21"/>
          <w:szCs w:val="21"/>
          <w14:ligatures w14:val="none"/>
        </w:rPr>
        <w:t>Rationale:</w:t>
      </w:r>
      <w:r w:rsidRPr="00DF0E6A">
        <w:rPr>
          <w:rFonts w:ascii="Arial" w:eastAsia="Times New Roman" w:hAnsi="Arial" w:cs="Arial"/>
          <w:color w:val="5F5B61"/>
          <w:kern w:val="0"/>
          <w:sz w:val="21"/>
          <w:szCs w:val="21"/>
          <w14:ligatures w14:val="none"/>
        </w:rPr>
        <w:t> The Fouls and Misconduct rule has been revised to eliminate duplicate language and improve usability. The main changes involve reorganizing the existing rule for clarity. Sections have been rearranged to enhance ease of reference, and a new section addressing Stopping a Promising Attack (SPA) has been included. Certain general language in the rule has been modified to align with other rules codes. Section 6, Ejections, provides an ordered list of offenses by severity to allow associations more flexibility for determining post-game sanctions for misconduct. Additionally, an article has been added to clarify that all necessary conditions must be met for DOGSO (Denial of an Obvious Goal-Scoring Opportunity) to be applicable.</w:t>
      </w:r>
    </w:p>
    <w:p w:rsidR="00DF0E6A" w:rsidRPr="00DF0E6A" w:rsidRDefault="00DF0E6A" w:rsidP="00DF0E6A">
      <w:pPr>
        <w:shd w:val="clear" w:color="auto" w:fill="FFFFFF"/>
        <w:spacing w:after="300" w:line="375" w:lineRule="atLeast"/>
        <w:rPr>
          <w:rFonts w:ascii="Arial" w:eastAsia="Times New Roman" w:hAnsi="Arial" w:cs="Arial"/>
          <w:color w:val="5F5B61"/>
          <w:kern w:val="0"/>
          <w:sz w:val="21"/>
          <w:szCs w:val="21"/>
          <w14:ligatures w14:val="none"/>
        </w:rPr>
      </w:pPr>
      <w:r w:rsidRPr="00DF0E6A">
        <w:rPr>
          <w:rFonts w:ascii="Arial" w:eastAsia="Times New Roman" w:hAnsi="Arial" w:cs="Arial"/>
          <w:b/>
          <w:bCs/>
          <w:color w:val="5F5B61"/>
          <w:kern w:val="0"/>
          <w:sz w:val="21"/>
          <w:szCs w:val="21"/>
          <w14:ligatures w14:val="none"/>
        </w:rPr>
        <w:t>2024-2025 Editorial Changes</w:t>
      </w:r>
      <w:r w:rsidRPr="00DF0E6A">
        <w:rPr>
          <w:rFonts w:ascii="Arial" w:eastAsia="Times New Roman" w:hAnsi="Arial" w:cs="Arial"/>
          <w:color w:val="5F5B61"/>
          <w:kern w:val="0"/>
          <w:sz w:val="21"/>
          <w:szCs w:val="21"/>
          <w14:ligatures w14:val="none"/>
        </w:rPr>
        <w:br/>
        <w:t>3-4-3, 6-2-3, 12-9-1g</w:t>
      </w:r>
    </w:p>
    <w:p w:rsidR="00DF0E6A" w:rsidRPr="00DF0E6A" w:rsidRDefault="00DF0E6A" w:rsidP="00DF0E6A">
      <w:pPr>
        <w:shd w:val="clear" w:color="auto" w:fill="FFFFFF"/>
        <w:spacing w:after="300" w:line="375" w:lineRule="atLeast"/>
        <w:rPr>
          <w:rFonts w:ascii="Arial" w:eastAsia="Times New Roman" w:hAnsi="Arial" w:cs="Arial"/>
          <w:color w:val="5F5B61"/>
          <w:kern w:val="0"/>
          <w:sz w:val="21"/>
          <w:szCs w:val="21"/>
          <w14:ligatures w14:val="none"/>
        </w:rPr>
      </w:pPr>
      <w:r w:rsidRPr="00DF0E6A">
        <w:rPr>
          <w:rFonts w:ascii="Arial" w:eastAsia="Times New Roman" w:hAnsi="Arial" w:cs="Arial"/>
          <w:b/>
          <w:bCs/>
          <w:color w:val="5F5B61"/>
          <w:kern w:val="0"/>
          <w:sz w:val="21"/>
          <w:szCs w:val="21"/>
          <w14:ligatures w14:val="none"/>
        </w:rPr>
        <w:t>2024-2025 Points of Emphasis</w:t>
      </w:r>
    </w:p>
    <w:p w:rsidR="00DF0E6A" w:rsidRPr="00DF0E6A" w:rsidRDefault="00DF0E6A" w:rsidP="00DF0E6A">
      <w:pPr>
        <w:numPr>
          <w:ilvl w:val="0"/>
          <w:numId w:val="1"/>
        </w:numPr>
        <w:shd w:val="clear" w:color="auto" w:fill="FFFFFF"/>
        <w:spacing w:after="525" w:line="300" w:lineRule="atLeast"/>
        <w:ind w:left="1020"/>
        <w:rPr>
          <w:rFonts w:ascii="Arial" w:eastAsia="Times New Roman" w:hAnsi="Arial" w:cs="Arial"/>
          <w:color w:val="5F5B61"/>
          <w:kern w:val="0"/>
          <w:sz w:val="21"/>
          <w:szCs w:val="21"/>
          <w14:ligatures w14:val="none"/>
        </w:rPr>
      </w:pPr>
      <w:r w:rsidRPr="00DF0E6A">
        <w:rPr>
          <w:rFonts w:ascii="Arial" w:eastAsia="Times New Roman" w:hAnsi="Arial" w:cs="Arial"/>
          <w:color w:val="5F5B61"/>
          <w:kern w:val="0"/>
          <w:sz w:val="21"/>
          <w:szCs w:val="21"/>
          <w14:ligatures w14:val="none"/>
        </w:rPr>
        <w:t>Official’s Toolbox for Game Management</w:t>
      </w:r>
    </w:p>
    <w:p w:rsidR="00DF0E6A" w:rsidRPr="00DF0E6A" w:rsidRDefault="00DF0E6A" w:rsidP="00DF0E6A">
      <w:pPr>
        <w:numPr>
          <w:ilvl w:val="0"/>
          <w:numId w:val="1"/>
        </w:numPr>
        <w:shd w:val="clear" w:color="auto" w:fill="FFFFFF"/>
        <w:spacing w:after="525" w:line="300" w:lineRule="atLeast"/>
        <w:ind w:left="1020"/>
        <w:rPr>
          <w:rFonts w:ascii="Arial" w:eastAsia="Times New Roman" w:hAnsi="Arial" w:cs="Arial"/>
          <w:color w:val="5F5B61"/>
          <w:kern w:val="0"/>
          <w:sz w:val="21"/>
          <w:szCs w:val="21"/>
          <w14:ligatures w14:val="none"/>
        </w:rPr>
      </w:pPr>
      <w:r w:rsidRPr="00DF0E6A">
        <w:rPr>
          <w:rFonts w:ascii="Arial" w:eastAsia="Times New Roman" w:hAnsi="Arial" w:cs="Arial"/>
          <w:color w:val="5F5B61"/>
          <w:kern w:val="0"/>
          <w:sz w:val="21"/>
          <w:szCs w:val="21"/>
          <w14:ligatures w14:val="none"/>
        </w:rPr>
        <w:t>Stopping a Promising Attack</w:t>
      </w:r>
    </w:p>
    <w:p w:rsidR="00DF0E6A" w:rsidRPr="00DF0E6A" w:rsidRDefault="00DF0E6A" w:rsidP="00DF0E6A">
      <w:pPr>
        <w:numPr>
          <w:ilvl w:val="0"/>
          <w:numId w:val="1"/>
        </w:numPr>
        <w:shd w:val="clear" w:color="auto" w:fill="FFFFFF"/>
        <w:spacing w:after="525" w:line="300" w:lineRule="atLeast"/>
        <w:ind w:left="1020"/>
        <w:rPr>
          <w:rFonts w:ascii="Arial" w:eastAsia="Times New Roman" w:hAnsi="Arial" w:cs="Arial"/>
          <w:color w:val="5F5B61"/>
          <w:kern w:val="0"/>
          <w:sz w:val="21"/>
          <w:szCs w:val="21"/>
          <w14:ligatures w14:val="none"/>
        </w:rPr>
      </w:pPr>
      <w:r w:rsidRPr="00DF0E6A">
        <w:rPr>
          <w:rFonts w:ascii="Arial" w:eastAsia="Times New Roman" w:hAnsi="Arial" w:cs="Arial"/>
          <w:color w:val="5F5B61"/>
          <w:kern w:val="0"/>
          <w:sz w:val="21"/>
          <w:szCs w:val="21"/>
          <w14:ligatures w14:val="none"/>
        </w:rPr>
        <w:t>After a Goal</w:t>
      </w:r>
    </w:p>
    <w:p w:rsidR="002A1A12" w:rsidRDefault="002A1A12"/>
    <w:sectPr w:rsidR="002A1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s 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_sansbold_ital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053E34"/>
    <w:multiLevelType w:val="multilevel"/>
    <w:tmpl w:val="1418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681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6A"/>
    <w:rsid w:val="002A1A12"/>
    <w:rsid w:val="00D068AB"/>
    <w:rsid w:val="00DF0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F00EC-204D-4AE6-8253-0A5CE699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655108">
      <w:bodyDiv w:val="1"/>
      <w:marLeft w:val="0"/>
      <w:marRight w:val="0"/>
      <w:marTop w:val="0"/>
      <w:marBottom w:val="0"/>
      <w:divBdr>
        <w:top w:val="none" w:sz="0" w:space="0" w:color="auto"/>
        <w:left w:val="none" w:sz="0" w:space="0" w:color="auto"/>
        <w:bottom w:val="none" w:sz="0" w:space="0" w:color="auto"/>
        <w:right w:val="none" w:sz="0" w:space="0" w:color="auto"/>
      </w:divBdr>
      <w:divsChild>
        <w:div w:id="2074311908">
          <w:marLeft w:val="0"/>
          <w:marRight w:val="0"/>
          <w:marTop w:val="0"/>
          <w:marBottom w:val="195"/>
          <w:divBdr>
            <w:top w:val="none" w:sz="0" w:space="0" w:color="auto"/>
            <w:left w:val="none" w:sz="0" w:space="0" w:color="auto"/>
            <w:bottom w:val="single" w:sz="18" w:space="0" w:color="CB2C26"/>
            <w:right w:val="none" w:sz="0" w:space="0" w:color="auto"/>
          </w:divBdr>
          <w:divsChild>
            <w:div w:id="13977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fhs.org/media/7212755/2024-major-soccer-rules-changes-with-rationales.pdf"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fhs.org/sports-resource-content/soccer-rules-changes-2024-25/" TargetMode="External"/><Relationship Id="rId5" Type="http://schemas.openxmlformats.org/officeDocument/2006/relationships/hyperlink" Target="https://www.nfhs.org/sports-resource-content/soccer-rules-changes-2024-2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Merrick</dc:creator>
  <cp:keywords/>
  <dc:description/>
  <cp:lastModifiedBy>Wayne Merrick</cp:lastModifiedBy>
  <cp:revision>1</cp:revision>
  <dcterms:created xsi:type="dcterms:W3CDTF">2024-07-20T01:03:00Z</dcterms:created>
  <dcterms:modified xsi:type="dcterms:W3CDTF">2024-07-20T01:05:00Z</dcterms:modified>
</cp:coreProperties>
</file>